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BC7" w:rsidRPr="000B0921" w:rsidRDefault="00F02BC7" w:rsidP="000B0921">
      <w:pPr>
        <w:pStyle w:val="List"/>
        <w:tabs>
          <w:tab w:val="left" w:pos="180"/>
          <w:tab w:val="left" w:pos="270"/>
          <w:tab w:val="left" w:pos="360"/>
          <w:tab w:val="left" w:pos="1080"/>
        </w:tabs>
        <w:suppressAutoHyphens w:val="0"/>
        <w:autoSpaceDN w:val="0"/>
        <w:adjustRightInd w:val="0"/>
        <w:jc w:val="center"/>
        <w:rPr>
          <w:b/>
          <w:color w:val="000000"/>
        </w:rPr>
      </w:pPr>
      <w:r w:rsidRPr="000B0921">
        <w:rPr>
          <w:b/>
          <w:color w:val="000000"/>
        </w:rPr>
        <w:t>Categorii de cheltuieli eligibile:</w:t>
      </w:r>
      <w:bookmarkStart w:id="0" w:name="_GoBack"/>
      <w:bookmarkEnd w:id="0"/>
    </w:p>
    <w:p w:rsidR="00F02BC7" w:rsidRPr="00474049" w:rsidRDefault="00F02BC7" w:rsidP="00474049">
      <w:pPr>
        <w:pStyle w:val="List"/>
        <w:tabs>
          <w:tab w:val="left" w:pos="180"/>
          <w:tab w:val="left" w:pos="270"/>
          <w:tab w:val="left" w:pos="360"/>
          <w:tab w:val="left" w:pos="1080"/>
        </w:tabs>
        <w:suppressAutoHyphens w:val="0"/>
        <w:autoSpaceDN w:val="0"/>
        <w:adjustRightInd w:val="0"/>
        <w:rPr>
          <w:color w:val="000000"/>
        </w:rPr>
      </w:pPr>
    </w:p>
    <w:p w:rsid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A224E5">
        <w:rPr>
          <w:color w:val="000000"/>
        </w:rPr>
        <w:t xml:space="preserve">Echipamente tehnologice, inclusiv </w:t>
      </w:r>
      <w:proofErr w:type="spellStart"/>
      <w:r w:rsidRPr="00474049">
        <w:rPr>
          <w:color w:val="000000"/>
        </w:rPr>
        <w:t>echipamente</w:t>
      </w:r>
      <w:proofErr w:type="spellEnd"/>
      <w:r w:rsidRPr="00474049">
        <w:rPr>
          <w:color w:val="000000"/>
        </w:rPr>
        <w:t xml:space="preserve"> IT </w:t>
      </w:r>
      <w:proofErr w:type="spellStart"/>
      <w:r w:rsidRPr="00474049">
        <w:rPr>
          <w:color w:val="000000"/>
        </w:rPr>
        <w:t>tehnică</w:t>
      </w:r>
      <w:proofErr w:type="spellEnd"/>
      <w:r w:rsidRPr="00474049">
        <w:rPr>
          <w:color w:val="000000"/>
        </w:rPr>
        <w:t xml:space="preserve"> de </w:t>
      </w:r>
      <w:proofErr w:type="spellStart"/>
      <w:r w:rsidRPr="00474049">
        <w:rPr>
          <w:color w:val="000000"/>
        </w:rPr>
        <w:t>calcul</w:t>
      </w:r>
      <w:proofErr w:type="spellEnd"/>
      <w:r w:rsidRPr="00474049">
        <w:rPr>
          <w:color w:val="000000"/>
        </w:rPr>
        <w:t xml:space="preserve"> tip PC, format din: </w:t>
      </w:r>
      <w:proofErr w:type="spellStart"/>
      <w:r w:rsidRPr="00474049">
        <w:rPr>
          <w:color w:val="000000"/>
        </w:rPr>
        <w:t>unitate</w:t>
      </w:r>
      <w:proofErr w:type="spellEnd"/>
      <w:r w:rsidRPr="00474049">
        <w:rPr>
          <w:color w:val="000000"/>
        </w:rPr>
        <w:t xml:space="preserve"> </w:t>
      </w:r>
      <w:proofErr w:type="spellStart"/>
      <w:r w:rsidRPr="00474049">
        <w:rPr>
          <w:color w:val="000000"/>
        </w:rPr>
        <w:t>centrală</w:t>
      </w:r>
      <w:proofErr w:type="spellEnd"/>
      <w:r w:rsidRPr="00474049">
        <w:rPr>
          <w:color w:val="000000"/>
        </w:rPr>
        <w:t xml:space="preserve">, server, monitor, </w:t>
      </w:r>
      <w:proofErr w:type="spellStart"/>
      <w:r w:rsidRPr="00474049">
        <w:rPr>
          <w:color w:val="000000"/>
        </w:rPr>
        <w:t>imprimantă</w:t>
      </w:r>
      <w:proofErr w:type="spellEnd"/>
      <w:r w:rsidRPr="00474049">
        <w:rPr>
          <w:color w:val="000000"/>
        </w:rPr>
        <w:t xml:space="preserve"> /</w:t>
      </w:r>
      <w:proofErr w:type="spellStart"/>
      <w:r w:rsidRPr="00474049">
        <w:rPr>
          <w:color w:val="000000"/>
        </w:rPr>
        <w:t>copiator</w:t>
      </w:r>
      <w:proofErr w:type="spellEnd"/>
      <w:r w:rsidRPr="00474049">
        <w:rPr>
          <w:color w:val="000000"/>
        </w:rPr>
        <w:t xml:space="preserve"> /</w:t>
      </w:r>
      <w:proofErr w:type="spellStart"/>
      <w:r w:rsidRPr="00474049">
        <w:rPr>
          <w:color w:val="000000"/>
        </w:rPr>
        <w:t>multifuncţională</w:t>
      </w:r>
      <w:proofErr w:type="spellEnd"/>
      <w:r w:rsidRPr="00474049">
        <w:rPr>
          <w:color w:val="000000"/>
        </w:rPr>
        <w:t xml:space="preserve">, </w:t>
      </w:r>
      <w:proofErr w:type="spellStart"/>
      <w:r w:rsidRPr="00474049">
        <w:rPr>
          <w:color w:val="000000"/>
        </w:rPr>
        <w:t>inclusiv</w:t>
      </w:r>
      <w:proofErr w:type="spellEnd"/>
      <w:r w:rsidRPr="00474049">
        <w:rPr>
          <w:color w:val="000000"/>
        </w:rPr>
        <w:t xml:space="preserve"> </w:t>
      </w:r>
      <w:proofErr w:type="spellStart"/>
      <w:r w:rsidRPr="00474049">
        <w:rPr>
          <w:color w:val="000000"/>
        </w:rPr>
        <w:t>sisteme</w:t>
      </w:r>
      <w:proofErr w:type="spellEnd"/>
      <w:r w:rsidRPr="00474049">
        <w:rPr>
          <w:color w:val="000000"/>
        </w:rPr>
        <w:t xml:space="preserve"> </w:t>
      </w:r>
      <w:proofErr w:type="spellStart"/>
      <w:r w:rsidRPr="00474049">
        <w:rPr>
          <w:color w:val="000000"/>
        </w:rPr>
        <w:t>portabile</w:t>
      </w:r>
      <w:proofErr w:type="spellEnd"/>
      <w:r w:rsidRPr="00474049">
        <w:rPr>
          <w:color w:val="000000"/>
        </w:rPr>
        <w:t xml:space="preserve">, </w:t>
      </w:r>
      <w:proofErr w:type="spellStart"/>
      <w:r w:rsidRPr="00474049">
        <w:rPr>
          <w:color w:val="000000"/>
        </w:rPr>
        <w:t>licenţe</w:t>
      </w:r>
      <w:proofErr w:type="spellEnd"/>
      <w:r w:rsidRPr="00474049">
        <w:rPr>
          <w:color w:val="000000"/>
        </w:rPr>
        <w:t xml:space="preserve"> </w:t>
      </w:r>
      <w:proofErr w:type="spellStart"/>
      <w:r w:rsidRPr="00474049">
        <w:rPr>
          <w:color w:val="000000"/>
        </w:rPr>
        <w:t>necesare</w:t>
      </w:r>
      <w:proofErr w:type="spellEnd"/>
      <w:r w:rsidRPr="00474049">
        <w:rPr>
          <w:color w:val="000000"/>
        </w:rPr>
        <w:t xml:space="preserve"> </w:t>
      </w:r>
      <w:proofErr w:type="spellStart"/>
      <w:r w:rsidRPr="00474049">
        <w:rPr>
          <w:color w:val="000000"/>
        </w:rPr>
        <w:t>desfăşurării</w:t>
      </w:r>
      <w:proofErr w:type="spellEnd"/>
      <w:r w:rsidRPr="00474049">
        <w:rPr>
          <w:color w:val="000000"/>
        </w:rPr>
        <w:t xml:space="preserve"> </w:t>
      </w:r>
      <w:proofErr w:type="spellStart"/>
      <w:r w:rsidRPr="00474049">
        <w:rPr>
          <w:color w:val="000000"/>
        </w:rPr>
        <w:t>activităţii</w:t>
      </w:r>
      <w:proofErr w:type="spellEnd"/>
      <w:r w:rsidRPr="00474049">
        <w:rPr>
          <w:color w:val="000000"/>
        </w:rPr>
        <w:t xml:space="preserve">, </w:t>
      </w:r>
      <w:proofErr w:type="spellStart"/>
      <w:r w:rsidRPr="00474049">
        <w:rPr>
          <w:color w:val="000000"/>
        </w:rPr>
        <w:t>sisteme</w:t>
      </w:r>
      <w:proofErr w:type="spellEnd"/>
      <w:r w:rsidRPr="00474049">
        <w:rPr>
          <w:color w:val="000000"/>
        </w:rPr>
        <w:t xml:space="preserve"> audio-video,</w:t>
      </w:r>
      <w:r w:rsidRPr="00A224E5">
        <w:rPr>
          <w:color w:val="000000"/>
        </w:rPr>
        <w:t xml:space="preserve"> cu excepţia jocurilor de noroc mecanice, electrice, electronice, meselor de biliard, automatelor muzicale, </w:t>
      </w:r>
    </w:p>
    <w:p w:rsidR="00474049" w:rsidRPr="00A224E5"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A224E5">
        <w:rPr>
          <w:color w:val="000000"/>
        </w:rPr>
        <w:t xml:space="preserve">Prin echipamente tehnologice, conform grilei de punctaj, se înțeleg toate bunurile descrise în grupele 2.1, 2.2. si 2.3.6. din H.G. 2139/2004 pentru aprobarea Catalogului privind clasificarea si duratele normale de functionare a mijloacelor fixe, sau obiecte de inventar asimilate grupelor menționate, </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803BE9">
        <w:rPr>
          <w:color w:val="000000"/>
        </w:rPr>
        <w:t xml:space="preserve">Achiziţionarea de spaţii de lucru, spaţii de producţie şi spaţii pentru prestări servicii şi comerţ. Valoarea activului ce urmează a fi achiziţionat în cadrul programului se va face pe baza unei evaluări al unui expert evaluator ANEVAR, cu excepţia spaţiilor mobile de lucru/ producţie / prestări servicii / comerț. Activele din cadrul acestei categorii nu trebuie să aibă destinaţie locativă, la momentul achiziției; </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 xml:space="preserve">(1) Mijloace de transport: autoturisme, autobuze, microbuze, biciclete, mopede, motociclete, kart-uri, UTV-uri, ATV-uri, rulote cu sau fără motor, elevatoare, încărcătoare, remorci și semiremorci, platforme, izoterme și frigorifice, </w:t>
      </w:r>
      <w:r w:rsidRPr="00803BE9">
        <w:rPr>
          <w:color w:val="000000"/>
        </w:rPr>
        <w:t>doc plutitor, șalupe maritime pentru călători, ambarcaţi</w:t>
      </w:r>
      <w:r>
        <w:rPr>
          <w:color w:val="000000"/>
        </w:rPr>
        <w:t>un</w:t>
      </w:r>
      <w:r w:rsidRPr="00803BE9">
        <w:rPr>
          <w:color w:val="000000"/>
        </w:rPr>
        <w:t xml:space="preserve">i fluviale de agrement, aparate de zbor, </w:t>
      </w:r>
      <w:r w:rsidRPr="00474049">
        <w:rPr>
          <w:color w:val="000000"/>
        </w:rPr>
        <w:t xml:space="preserve">autoutilitare și autovehicule cu destinație specială, cu excepţia tuturor vehiculelor simbol G, conform Ordinului MLPTL 211/2003 cu modificările şi completările ulterioare. Nu se finanțează vehiculele de transport rutier de mărfuri în contul terţilor sau contra cost, solicitate de întreprinderile care efectuează transport rutier de mărfuri. </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 xml:space="preserve">      (2) Pentru activitățile de rent a car, școli de șoferi și pilotaj și transporturi cu taxi-uri nu este limitată valoarea maximă și numărul de mijloace de transport achiziționate.</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 xml:space="preserve">      (3) Pentru alte activități în afara celor prevăzute la alin (2), a</w:t>
      </w:r>
      <w:proofErr w:type="spellStart"/>
      <w:r w:rsidRPr="00474049">
        <w:rPr>
          <w:color w:val="000000"/>
        </w:rPr>
        <w:t>utoturismele</w:t>
      </w:r>
      <w:proofErr w:type="spellEnd"/>
      <w:r w:rsidRPr="00474049">
        <w:rPr>
          <w:color w:val="000000"/>
        </w:rPr>
        <w:t xml:space="preserve"> </w:t>
      </w:r>
      <w:proofErr w:type="spellStart"/>
      <w:r w:rsidRPr="00474049">
        <w:rPr>
          <w:color w:val="000000"/>
        </w:rPr>
        <w:t>sunt</w:t>
      </w:r>
      <w:proofErr w:type="spellEnd"/>
      <w:r w:rsidRPr="00474049">
        <w:rPr>
          <w:color w:val="000000"/>
        </w:rPr>
        <w:t xml:space="preserve"> </w:t>
      </w:r>
      <w:proofErr w:type="spellStart"/>
      <w:r w:rsidRPr="00474049">
        <w:rPr>
          <w:color w:val="000000"/>
        </w:rPr>
        <w:t>eligibile</w:t>
      </w:r>
      <w:proofErr w:type="spellEnd"/>
      <w:r w:rsidRPr="00474049">
        <w:rPr>
          <w:color w:val="000000"/>
        </w:rPr>
        <w:t xml:space="preserve"> </w:t>
      </w:r>
      <w:proofErr w:type="spellStart"/>
      <w:r w:rsidRPr="00474049">
        <w:rPr>
          <w:color w:val="000000"/>
        </w:rPr>
        <w:t>pentru</w:t>
      </w:r>
      <w:proofErr w:type="spellEnd"/>
      <w:r w:rsidRPr="00474049">
        <w:rPr>
          <w:color w:val="000000"/>
        </w:rPr>
        <w:t xml:space="preserve"> </w:t>
      </w:r>
      <w:proofErr w:type="spellStart"/>
      <w:r w:rsidRPr="00474049">
        <w:rPr>
          <w:color w:val="000000"/>
        </w:rPr>
        <w:t>toate</w:t>
      </w:r>
      <w:proofErr w:type="spellEnd"/>
      <w:r w:rsidRPr="00474049">
        <w:rPr>
          <w:color w:val="000000"/>
        </w:rPr>
        <w:t xml:space="preserve"> </w:t>
      </w:r>
      <w:proofErr w:type="spellStart"/>
      <w:r w:rsidRPr="00474049">
        <w:rPr>
          <w:color w:val="000000"/>
        </w:rPr>
        <w:t>activitățile</w:t>
      </w:r>
      <w:proofErr w:type="spellEnd"/>
      <w:r w:rsidRPr="00474049">
        <w:rPr>
          <w:color w:val="000000"/>
        </w:rPr>
        <w:t xml:space="preserve"> din </w:t>
      </w:r>
      <w:proofErr w:type="spellStart"/>
      <w:r w:rsidRPr="00474049">
        <w:rPr>
          <w:color w:val="000000"/>
        </w:rPr>
        <w:t>cadrul</w:t>
      </w:r>
      <w:proofErr w:type="spellEnd"/>
      <w:r w:rsidRPr="00474049">
        <w:rPr>
          <w:color w:val="000000"/>
        </w:rPr>
        <w:t xml:space="preserve"> </w:t>
      </w:r>
      <w:proofErr w:type="spellStart"/>
      <w:r w:rsidRPr="00474049">
        <w:rPr>
          <w:color w:val="000000"/>
        </w:rPr>
        <w:t>programului</w:t>
      </w:r>
      <w:proofErr w:type="spellEnd"/>
      <w:r w:rsidRPr="00474049">
        <w:rPr>
          <w:color w:val="000000"/>
        </w:rPr>
        <w:t xml:space="preserve"> cu </w:t>
      </w:r>
      <w:proofErr w:type="spellStart"/>
      <w:r w:rsidRPr="00474049">
        <w:rPr>
          <w:color w:val="000000"/>
        </w:rPr>
        <w:t>justificarea</w:t>
      </w:r>
      <w:proofErr w:type="spellEnd"/>
      <w:r w:rsidRPr="00474049">
        <w:rPr>
          <w:color w:val="000000"/>
        </w:rPr>
        <w:t xml:space="preserve"> </w:t>
      </w:r>
      <w:proofErr w:type="spellStart"/>
      <w:r w:rsidRPr="00474049">
        <w:rPr>
          <w:color w:val="000000"/>
        </w:rPr>
        <w:t>necesității</w:t>
      </w:r>
      <w:proofErr w:type="spellEnd"/>
      <w:r w:rsidRPr="00474049">
        <w:rPr>
          <w:color w:val="000000"/>
        </w:rPr>
        <w:t xml:space="preserve"> </w:t>
      </w:r>
      <w:proofErr w:type="spellStart"/>
      <w:r w:rsidRPr="00474049">
        <w:rPr>
          <w:color w:val="000000"/>
        </w:rPr>
        <w:t>achiziționării</w:t>
      </w:r>
      <w:proofErr w:type="spellEnd"/>
      <w:r w:rsidRPr="00474049">
        <w:rPr>
          <w:color w:val="000000"/>
        </w:rPr>
        <w:t xml:space="preserve"> </w:t>
      </w:r>
      <w:proofErr w:type="spellStart"/>
      <w:r w:rsidRPr="00474049">
        <w:rPr>
          <w:color w:val="000000"/>
        </w:rPr>
        <w:t>acestora</w:t>
      </w:r>
      <w:proofErr w:type="spellEnd"/>
      <w:r w:rsidRPr="00474049">
        <w:rPr>
          <w:color w:val="000000"/>
        </w:rPr>
        <w:t xml:space="preserve"> </w:t>
      </w:r>
      <w:proofErr w:type="spellStart"/>
      <w:r w:rsidRPr="00474049">
        <w:rPr>
          <w:color w:val="000000"/>
        </w:rPr>
        <w:t>în</w:t>
      </w:r>
      <w:proofErr w:type="spellEnd"/>
      <w:r w:rsidRPr="00474049">
        <w:rPr>
          <w:color w:val="000000"/>
        </w:rPr>
        <w:t xml:space="preserve"> </w:t>
      </w:r>
      <w:proofErr w:type="spellStart"/>
      <w:r w:rsidRPr="00474049">
        <w:rPr>
          <w:color w:val="000000"/>
        </w:rPr>
        <w:t>planul</w:t>
      </w:r>
      <w:proofErr w:type="spellEnd"/>
      <w:r w:rsidRPr="00474049">
        <w:rPr>
          <w:color w:val="000000"/>
        </w:rPr>
        <w:t xml:space="preserve"> de </w:t>
      </w:r>
      <w:proofErr w:type="spellStart"/>
      <w:r w:rsidRPr="00474049">
        <w:rPr>
          <w:color w:val="000000"/>
        </w:rPr>
        <w:t>afaceri</w:t>
      </w:r>
      <w:proofErr w:type="spellEnd"/>
      <w:r w:rsidRPr="00474049">
        <w:rPr>
          <w:color w:val="000000"/>
        </w:rPr>
        <w:t xml:space="preserve">, </w:t>
      </w:r>
      <w:proofErr w:type="spellStart"/>
      <w:r w:rsidRPr="00474049">
        <w:rPr>
          <w:color w:val="000000"/>
        </w:rPr>
        <w:t>în</w:t>
      </w:r>
      <w:proofErr w:type="spellEnd"/>
      <w:r w:rsidRPr="00474049">
        <w:rPr>
          <w:color w:val="000000"/>
        </w:rPr>
        <w:t xml:space="preserve"> </w:t>
      </w:r>
      <w:proofErr w:type="spellStart"/>
      <w:r w:rsidRPr="00474049">
        <w:rPr>
          <w:color w:val="000000"/>
        </w:rPr>
        <w:t>valoare</w:t>
      </w:r>
      <w:proofErr w:type="spellEnd"/>
      <w:r w:rsidRPr="00474049">
        <w:rPr>
          <w:color w:val="000000"/>
        </w:rPr>
        <w:t xml:space="preserve"> </w:t>
      </w:r>
      <w:proofErr w:type="spellStart"/>
      <w:r w:rsidRPr="00474049">
        <w:rPr>
          <w:color w:val="000000"/>
        </w:rPr>
        <w:t>eligibilă</w:t>
      </w:r>
      <w:proofErr w:type="spellEnd"/>
      <w:r w:rsidRPr="00474049">
        <w:rPr>
          <w:color w:val="000000"/>
        </w:rPr>
        <w:t xml:space="preserve"> de maxim 36000 lei </w:t>
      </w:r>
      <w:proofErr w:type="spellStart"/>
      <w:r w:rsidRPr="00474049">
        <w:rPr>
          <w:color w:val="000000"/>
        </w:rPr>
        <w:t>și</w:t>
      </w:r>
      <w:proofErr w:type="spellEnd"/>
      <w:r w:rsidRPr="00474049">
        <w:rPr>
          <w:color w:val="000000"/>
        </w:rPr>
        <w:t xml:space="preserve"> maxim 1 </w:t>
      </w:r>
      <w:proofErr w:type="spellStart"/>
      <w:r w:rsidRPr="00474049">
        <w:rPr>
          <w:color w:val="000000"/>
        </w:rPr>
        <w:t>autoturism</w:t>
      </w:r>
      <w:proofErr w:type="spellEnd"/>
      <w:r w:rsidRPr="00474049">
        <w:rPr>
          <w:color w:val="000000"/>
        </w:rPr>
        <w:t xml:space="preserve"> / </w:t>
      </w:r>
      <w:proofErr w:type="spellStart"/>
      <w:r w:rsidRPr="00474049">
        <w:rPr>
          <w:color w:val="000000"/>
        </w:rPr>
        <w:t>beneficiar</w:t>
      </w:r>
      <w:proofErr w:type="spellEnd"/>
      <w:r w:rsidRPr="00474049">
        <w:rPr>
          <w:color w:val="000000"/>
        </w:rPr>
        <w:t>.</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 xml:space="preserve">      (4) În cazul în care întreprinderea beneficiară de ajutor de minimis, pe lângă activitatea eligibilă pentru care solicită ajutor în cadrul schemei de minimis, desfăşoară şi activităţi de transport de mărfuri în contul terţilor sau contra cost, nu poate utiliza ajutorul de minimis pentru achiziţionarea de mijloace de transport marfă, decât dacă se asigură, prin separarea activităţilor sau o distincţie clară între costuri, că activitatea exclusă din domeniul de aplicare al schemei nu beneficiază de ajutoare de minimis;</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Achiziţionarea de mobilier, aparatură birotică şi sisteme de protecţie a valorilor umane şi materiale;</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Achiziţionarea de echipamente (fără instalații) specifice în scopul obţinerii unei economii de energie, precum şi sisteme care utilizează surse regenerabile de energie pentru eficientizarea activităţilor pentru care a solicitat finanţare;</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Achiziţionarea de echipamente de încălzire sau climatizare (fără instalații) aferente spaţiului de desfășurare a activității de comerţ, producţie sau servicii;</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 xml:space="preserve">Salariile, utilitățile (energie electrica, consum apă, gaze, salubritate, abonament telefon si internet), servicii de contabilitate și cheltuielile aferente chiriilor pentru spaţii de lucru, spaţii de producţie şi spaţii pentru prestări servicii şi comerţ;  </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 xml:space="preserve">Valoarea acestor cheltuieli (salarii, utilități, servicii de contabilitate și chirii) reprezintă o sumă forfetară de maxim 30% din valoarea cheltuielilor eligibile menționate în planul de afaceri. </w:t>
      </w:r>
      <w:r w:rsidRPr="00474049">
        <w:rPr>
          <w:color w:val="000000"/>
        </w:rPr>
        <w:lastRenderedPageBreak/>
        <w:t xml:space="preserve">Decontarea se face în baza cererii beneficiarului însoțită  de documentele care să ateste angajarea numărului si tipului de persoane asumate prin planul de afaceri; </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 xml:space="preserve">Realizarea unei pagini web pentru prezentarea și promovarea activităţii solicitantului şi a produselor sau serviciilor, promovare online  site-ului si cheltuieli înregistrare domeniu fără hosting, pentru operatorii economici care nu deţin alt site şi care trebuie să fie funcţional la data depunerii cererii de eliberare a ajutorului de minimis și pe toată perioada de monitorizare, în valoare eligibilă de maxim  8000 lei; </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803BE9">
        <w:rPr>
          <w:color w:val="000000"/>
        </w:rPr>
        <w:t>Active necorporale referitoare la brevete de inventie, francize</w:t>
      </w:r>
      <w:r w:rsidRPr="00474049">
        <w:footnoteReference w:id="1"/>
      </w:r>
      <w:r w:rsidRPr="00803BE9">
        <w:rPr>
          <w:color w:val="000000"/>
        </w:rPr>
        <w:t>, etichetare ecologică</w:t>
      </w:r>
      <w:r w:rsidRPr="00474049">
        <w:rPr>
          <w:color w:val="000000"/>
        </w:rPr>
        <w:t xml:space="preserve">; </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Cursuri de dezvoltare a abilităţilor antreprenoriale desfășurate în România sau în altă țară membră a Uniunii Europene – pentru asociatul/administratorul societăţii aplicante, în valoare eligibilă de maxim 3000 lei;</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 xml:space="preserve">Taxa pe valoarea adăugată (TVA) nedeductibilă pentru aplicanții neplătitori de TVA conform Codului Fiscal;  </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 xml:space="preserve">Consultanţă pentru întocmirea documentaţiei în vederea obţinerii finanţării în cadrul prezentului program şi implementarea proiectului, dar în valoare eligibilă de maxim 8000 lei; Această activitate poate fi efectuată înainte de semnarea acordului de finanţare. Furnizorii de servicii de consultanţă eligibili în cadrul Programului pot fi numai organizaţii furnizoare de consultanţă care au dreptul legal de a desfășura acest tip de activitate, respectiv au activitatea de consultanță în statut sau sunt întreprinderi care au ca activitate autorizată a fi desfăşurată una dintre activităţile incluse în cod CAEN clasa 70. </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pPr>
      <w:bookmarkStart w:id="1" w:name="_Hlk509052362"/>
      <w:r w:rsidRPr="00474049">
        <w:t xml:space="preserve">Programe software </w:t>
      </w:r>
      <w:bookmarkEnd w:id="1"/>
      <w:r w:rsidRPr="00474049">
        <w:t>necesare</w:t>
      </w:r>
      <w:r w:rsidRPr="00474049">
        <w:rPr>
          <w:color w:val="000000"/>
        </w:rPr>
        <w:t xml:space="preserve"> </w:t>
      </w:r>
      <w:r w:rsidRPr="00803BE9">
        <w:rPr>
          <w:color w:val="000000"/>
        </w:rPr>
        <w:t>desfăşurării activităţii pentru care se solicită finanţare inclusiv licenţe</w:t>
      </w:r>
      <w:r>
        <w:rPr>
          <w:color w:val="000000"/>
        </w:rPr>
        <w:t xml:space="preserve">, </w:t>
      </w:r>
      <w:r w:rsidRPr="00474049">
        <w:t>în valoare eligibilă de maxim 60000 lei</w:t>
      </w:r>
      <w:r w:rsidRPr="00474049">
        <w:rPr>
          <w:color w:val="000000"/>
        </w:rPr>
        <w:t xml:space="preserve">. </w:t>
      </w:r>
      <w:r w:rsidRPr="00474049">
        <w:t xml:space="preserve">Software pentru comerţul on-line este eligibil indiferent de codul CAEN pentru care solicită finanțare, cu excepția codului CAEN 6201. </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pPr>
      <w:r w:rsidRPr="00474049">
        <w:t>Cheltuieli financiare aferente creditelor/garanțiilor obținute pentru creditele contractate de beneficiari în vederea realizării planurilor de afaceri acceptate în cadrul programului, pentru solicitanții care utilizează credit pentru implementarea proiectului.</w:t>
      </w:r>
      <w:r w:rsidRPr="00474049">
        <w:rPr>
          <w:color w:val="000000"/>
        </w:rPr>
        <w:t xml:space="preserve"> </w:t>
      </w:r>
      <w:r w:rsidRPr="00474049">
        <w:t>Decontarea acestor cheltuieli se face numai pe bază de cerere de rambursare pentru valoarea cheltuielilor financiare de după momentul semnării acordului de finanțare, pentru perioada de implementare.</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pPr>
      <w:r w:rsidRPr="00474049">
        <w:t xml:space="preserve">Cheltuieli pentru achiziționarea a două plăci informative cu privire la programul de finanțare Start-up Nation, ce vor fi afișate la locul de implementare a proiectului. Valoarea maximă permisă pentru această cheltuială este de 500 lei. </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 xml:space="preserve">4.3.2 (1)La punctul 4.3.1 lit. a) în categoria echipamente sunt incluse echipamentele pentru locurile de joacă și săli de sport, fitness, x-body și de forță, drone.  </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Sistemele de minare/stocare pentru criptomonede nu se finanțează.</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(2) La punctul 4.3.1 lit. b) în categoria spații sunt incluse corturile pentru organizare evenimente și baloanele presostatice. Pentru aceste cheltuieli nu este necesar raport ANEVAR.</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(3) La punctul 4.3.1 lit. h) pentru codul CAEN 6201 nu este eligibilă realizarea de pagini web și promovarea online a paginii web pe alte site-uri.</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 xml:space="preserve">(4) La punctul 4.3.1 lit. m) pentru codul CAEN 6201 nu sunt eligible programe software necesare desfăşurării activităţii (programe software la comandă) pentru care se solicită finanţare.  </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lastRenderedPageBreak/>
        <w:t>(5) Nu se finanțează cheltuielile aferente activităților de astrologie și spiritism, inclusiv on-line, servicii personale cu caracter social, cum ar fi servicii de escortă, servicii de stabilire a întâlnirilor, video chat,  servicii ale agențiilor matrimoniale, video chat on-line pentru consiliere matrimonială și psihologică.</w:t>
      </w:r>
    </w:p>
    <w:p w:rsidR="00474049" w:rsidRPr="00474049" w:rsidRDefault="00474049" w:rsidP="00474049">
      <w:pPr>
        <w:pStyle w:val="List"/>
        <w:numPr>
          <w:ilvl w:val="0"/>
          <w:numId w:val="1"/>
        </w:numPr>
        <w:tabs>
          <w:tab w:val="clear" w:pos="990"/>
          <w:tab w:val="left" w:pos="180"/>
          <w:tab w:val="left" w:pos="270"/>
          <w:tab w:val="left" w:pos="360"/>
          <w:tab w:val="left" w:pos="1080"/>
        </w:tabs>
        <w:suppressAutoHyphens w:val="0"/>
        <w:autoSpaceDN w:val="0"/>
        <w:adjustRightInd w:val="0"/>
        <w:ind w:left="0" w:firstLine="0"/>
        <w:rPr>
          <w:color w:val="000000"/>
        </w:rPr>
      </w:pPr>
      <w:r w:rsidRPr="00474049">
        <w:rPr>
          <w:color w:val="000000"/>
        </w:rPr>
        <w:t xml:space="preserve">4.3.3 Activele achiziționate în cadrul programului sunt considerate cheltuieli eligibile dacă fac parte din categoria mijloacelor fixe sau a obiectelor de inventar. </w:t>
      </w:r>
    </w:p>
    <w:p w:rsidR="00717EBC" w:rsidRDefault="00717EBC" w:rsidP="00F02BC7">
      <w:pPr>
        <w:ind w:firstLine="720"/>
      </w:pPr>
    </w:p>
    <w:sectPr w:rsidR="00717E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C96" w:rsidRDefault="00892C96" w:rsidP="00F02BC7">
      <w:r>
        <w:separator/>
      </w:r>
    </w:p>
  </w:endnote>
  <w:endnote w:type="continuationSeparator" w:id="0">
    <w:p w:rsidR="00892C96" w:rsidRDefault="00892C96" w:rsidP="00F0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C96" w:rsidRDefault="00892C96" w:rsidP="00F02BC7">
      <w:r>
        <w:separator/>
      </w:r>
    </w:p>
  </w:footnote>
  <w:footnote w:type="continuationSeparator" w:id="0">
    <w:p w:rsidR="00892C96" w:rsidRDefault="00892C96" w:rsidP="00F02BC7">
      <w:r>
        <w:continuationSeparator/>
      </w:r>
    </w:p>
  </w:footnote>
  <w:footnote w:id="1">
    <w:p w:rsidR="00474049" w:rsidRDefault="00474049" w:rsidP="00474049">
      <w:pPr>
        <w:pStyle w:val="FootnoteText"/>
        <w:ind w:left="0"/>
        <w:rPr>
          <w:szCs w:val="18"/>
          <w:lang w:val="ro-RO"/>
        </w:rPr>
      </w:pPr>
      <w:r w:rsidRPr="00C54C93">
        <w:rPr>
          <w:rStyle w:val="FootnoteReference"/>
          <w:szCs w:val="18"/>
        </w:rPr>
        <w:footnoteRef/>
      </w:r>
      <w:r w:rsidRPr="00B16C20">
        <w:rPr>
          <w:szCs w:val="18"/>
          <w:lang w:val="ro-RO"/>
        </w:rPr>
        <w:t xml:space="preserve"> se va prezenta dovada înregistrării mărcii francizate la organismul abilitat din România sau din ţara de origine, cu traducere autorizată în limba romană;</w:t>
      </w:r>
    </w:p>
    <w:p w:rsidR="00474049" w:rsidRPr="00B16C20" w:rsidRDefault="00474049" w:rsidP="00474049">
      <w:pPr>
        <w:pStyle w:val="FootnoteText"/>
        <w:ind w:left="-357" w:firstLine="0"/>
        <w:rPr>
          <w:szCs w:val="18"/>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D3923"/>
    <w:multiLevelType w:val="hybridMultilevel"/>
    <w:tmpl w:val="2DE628F2"/>
    <w:lvl w:ilvl="0" w:tplc="59963F16">
      <w:start w:val="1"/>
      <w:numFmt w:val="lowerLetter"/>
      <w:lvlText w:val="%1)"/>
      <w:lvlJc w:val="left"/>
      <w:pPr>
        <w:tabs>
          <w:tab w:val="num" w:pos="990"/>
        </w:tabs>
        <w:ind w:left="990" w:hanging="360"/>
      </w:pPr>
      <w:rPr>
        <w:rFonts w:hint="default"/>
        <w:b/>
        <w:strike w:val="0"/>
        <w:color w:val="auto"/>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 w15:restartNumberingAfterBreak="0">
    <w:nsid w:val="43805475"/>
    <w:multiLevelType w:val="hybridMultilevel"/>
    <w:tmpl w:val="84D8F24C"/>
    <w:lvl w:ilvl="0" w:tplc="97901C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C5"/>
    <w:rsid w:val="000B0921"/>
    <w:rsid w:val="00365F5A"/>
    <w:rsid w:val="00474049"/>
    <w:rsid w:val="004C056E"/>
    <w:rsid w:val="005774C5"/>
    <w:rsid w:val="00717EBC"/>
    <w:rsid w:val="00892C96"/>
    <w:rsid w:val="00E451D8"/>
    <w:rsid w:val="00F0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798F"/>
  <w15:chartTrackingRefBased/>
  <w15:docId w15:val="{687683EB-241E-41D6-A6B9-ECDD3245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02BC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
    <w:semiHidden/>
    <w:rsid w:val="00F02BC7"/>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F02BC7"/>
    <w:pPr>
      <w:spacing w:after="240"/>
      <w:ind w:left="357" w:hanging="357"/>
      <w:jc w:val="both"/>
    </w:pPr>
    <w:rPr>
      <w:sz w:val="20"/>
      <w:szCs w:val="20"/>
      <w:lang w:val="en-GB" w:eastAsia="x-none"/>
    </w:rPr>
  </w:style>
  <w:style w:type="character" w:customStyle="1" w:styleId="FootnoteTextChar">
    <w:name w:val="Footnote Text Char"/>
    <w:basedOn w:val="DefaultParagraphFont"/>
    <w:uiPriority w:val="99"/>
    <w:semiHidden/>
    <w:rsid w:val="00F02BC7"/>
    <w:rPr>
      <w:rFonts w:ascii="Times New Roman" w:eastAsia="Times New Roman" w:hAnsi="Times New Roman" w:cs="Times New Roman"/>
      <w:sz w:val="20"/>
      <w:szCs w:val="20"/>
      <w:lang w:val="ro-RO" w:eastAsia="ro-RO"/>
    </w:rPr>
  </w:style>
  <w:style w:type="paragraph" w:styleId="List">
    <w:name w:val="List"/>
    <w:basedOn w:val="BodyText"/>
    <w:rsid w:val="00F02BC7"/>
    <w:pPr>
      <w:suppressAutoHyphens/>
      <w:autoSpaceDE w:val="0"/>
      <w:spacing w:after="0"/>
      <w:jc w:val="both"/>
    </w:pPr>
    <w:rPr>
      <w:rFonts w:cs="Tahoma"/>
      <w:szCs w:val="20"/>
      <w:lang w:eastAsia="ar-SA"/>
    </w:rPr>
  </w:style>
  <w:style w:type="character" w:customStyle="1" w:styleId="def">
    <w:name w:val="def"/>
    <w:basedOn w:val="DefaultParagraphFont"/>
    <w:rsid w:val="00F02BC7"/>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F02BC7"/>
    <w:rPr>
      <w:rFonts w:ascii="Times New Roman" w:eastAsia="Times New Roman" w:hAnsi="Times New Roman" w:cs="Times New Roman"/>
      <w:sz w:val="20"/>
      <w:szCs w:val="20"/>
      <w:lang w:val="en-GB" w:eastAsia="x-none"/>
    </w:rPr>
  </w:style>
  <w:style w:type="paragraph" w:styleId="BodyText">
    <w:name w:val="Body Text"/>
    <w:basedOn w:val="Normal"/>
    <w:link w:val="BodyTextChar"/>
    <w:uiPriority w:val="99"/>
    <w:semiHidden/>
    <w:unhideWhenUsed/>
    <w:rsid w:val="00F02BC7"/>
    <w:pPr>
      <w:spacing w:after="120"/>
    </w:pPr>
  </w:style>
  <w:style w:type="character" w:customStyle="1" w:styleId="BodyTextChar">
    <w:name w:val="Body Text Char"/>
    <w:basedOn w:val="DefaultParagraphFont"/>
    <w:link w:val="BodyText"/>
    <w:uiPriority w:val="99"/>
    <w:semiHidden/>
    <w:rsid w:val="00F02BC7"/>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AlinaPC</dc:creator>
  <cp:keywords/>
  <dc:description/>
  <cp:lastModifiedBy>AlinaPC</cp:lastModifiedBy>
  <cp:revision>3</cp:revision>
  <dcterms:created xsi:type="dcterms:W3CDTF">2018-10-26T08:14:00Z</dcterms:created>
  <dcterms:modified xsi:type="dcterms:W3CDTF">2018-10-26T08:14:00Z</dcterms:modified>
</cp:coreProperties>
</file>